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8F" w:rsidRPr="001328B7" w:rsidRDefault="00962F8F" w:rsidP="001328B7">
      <w:pPr>
        <w:spacing w:afterLines="100" w:after="312" w:line="360" w:lineRule="auto"/>
        <w:jc w:val="center"/>
        <w:rPr>
          <w:rFonts w:ascii="仿宋" w:eastAsia="仿宋" w:hAnsi="仿宋"/>
          <w:b/>
          <w:sz w:val="40"/>
          <w:szCs w:val="24"/>
        </w:rPr>
      </w:pPr>
      <w:r w:rsidRPr="001328B7">
        <w:rPr>
          <w:rFonts w:ascii="仿宋" w:eastAsia="仿宋" w:hAnsi="仿宋" w:hint="eastAsia"/>
          <w:b/>
          <w:sz w:val="40"/>
          <w:szCs w:val="24"/>
        </w:rPr>
        <w:t>申报说明</w:t>
      </w:r>
    </w:p>
    <w:p w:rsidR="00962F8F" w:rsidRPr="001328B7" w:rsidRDefault="00962F8F"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凡申购单价在人民币40万元(含40万元)以上的仪器设备属于大型仪器设备，均须进行购置前论证</w:t>
      </w:r>
      <w:r w:rsidR="007438FA" w:rsidRPr="001328B7">
        <w:rPr>
          <w:rFonts w:ascii="仿宋" w:eastAsia="仿宋" w:hAnsi="仿宋" w:hint="eastAsia"/>
          <w:sz w:val="24"/>
          <w:szCs w:val="24"/>
        </w:rPr>
        <w:t>。</w:t>
      </w:r>
    </w:p>
    <w:p w:rsidR="00AB327C" w:rsidRPr="001328B7" w:rsidRDefault="00AB327C"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论证采用专家论证会的方式，主要对申购仪器设备的必要性、先进性、适用性、合理性和共享性进行综合评价，专家组形成综合评议意见。</w:t>
      </w:r>
    </w:p>
    <w:p w:rsidR="00AB327C" w:rsidRPr="001328B7" w:rsidRDefault="00AB327C"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论证由管理和技术论证构成，分别邀请专家组进行。技术专家组一般由5-7人单数组成，其中至少有2名校外专家，技术论证专家熟悉论证设备，具有高级专业技术职称。</w:t>
      </w:r>
    </w:p>
    <w:p w:rsidR="005A6153" w:rsidRPr="001328B7" w:rsidRDefault="005A6153"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凡</w:t>
      </w:r>
      <w:r w:rsidRPr="001328B7">
        <w:rPr>
          <w:rFonts w:ascii="仿宋" w:eastAsia="仿宋" w:hAnsi="仿宋"/>
          <w:sz w:val="24"/>
          <w:szCs w:val="24"/>
        </w:rPr>
        <w:t>申购大型仪器设备的单位应满足下述管理要求</w:t>
      </w:r>
      <w:r w:rsidRPr="001328B7">
        <w:rPr>
          <w:rFonts w:ascii="仿宋" w:eastAsia="仿宋" w:hAnsi="仿宋" w:hint="eastAsia"/>
          <w:sz w:val="24"/>
          <w:szCs w:val="24"/>
        </w:rPr>
        <w:t>：</w:t>
      </w:r>
    </w:p>
    <w:p w:rsidR="00962F8F" w:rsidRPr="001328B7" w:rsidRDefault="005A615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w:t>
      </w:r>
      <w:r w:rsidRPr="001328B7">
        <w:rPr>
          <w:rFonts w:ascii="仿宋" w:eastAsia="仿宋" w:hAnsi="仿宋"/>
          <w:sz w:val="24"/>
          <w:szCs w:val="24"/>
        </w:rPr>
        <w:t>地点明确，且有足够的放置空间；</w:t>
      </w:r>
    </w:p>
    <w:p w:rsidR="005A6153" w:rsidRPr="001328B7" w:rsidRDefault="00066BB5"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sz w:val="24"/>
          <w:szCs w:val="24"/>
        </w:rPr>
        <w:t>资产管理员</w:t>
      </w:r>
      <w:r w:rsidRPr="001328B7">
        <w:rPr>
          <w:rFonts w:ascii="仿宋" w:eastAsia="仿宋" w:hAnsi="仿宋" w:hint="eastAsia"/>
          <w:sz w:val="24"/>
          <w:szCs w:val="24"/>
        </w:rPr>
        <w:t>明确，</w:t>
      </w:r>
      <w:r w:rsidRPr="001328B7">
        <w:rPr>
          <w:rFonts w:ascii="仿宋" w:eastAsia="仿宋" w:hAnsi="仿宋"/>
          <w:sz w:val="24"/>
          <w:szCs w:val="24"/>
        </w:rPr>
        <w:t>承担相应的资产管理责任；</w:t>
      </w:r>
    </w:p>
    <w:p w:rsidR="005A6153" w:rsidRPr="001328B7" w:rsidRDefault="005A6153"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所申请设备</w:t>
      </w:r>
      <w:r w:rsidR="00066BB5" w:rsidRPr="001328B7">
        <w:rPr>
          <w:rFonts w:ascii="仿宋" w:eastAsia="仿宋" w:hAnsi="仿宋" w:hint="eastAsia"/>
          <w:sz w:val="24"/>
          <w:szCs w:val="24"/>
        </w:rPr>
        <w:t>预计</w:t>
      </w:r>
      <w:r w:rsidRPr="001328B7">
        <w:rPr>
          <w:rFonts w:ascii="仿宋" w:eastAsia="仿宋" w:hAnsi="仿宋" w:hint="eastAsia"/>
          <w:sz w:val="24"/>
          <w:szCs w:val="24"/>
        </w:rPr>
        <w:t>年</w:t>
      </w:r>
      <w:r w:rsidRPr="001328B7">
        <w:rPr>
          <w:rFonts w:ascii="仿宋" w:eastAsia="仿宋" w:hAnsi="仿宋"/>
          <w:sz w:val="24"/>
          <w:szCs w:val="24"/>
        </w:rPr>
        <w:t>使用</w:t>
      </w:r>
      <w:r w:rsidR="00066BB5" w:rsidRPr="001328B7">
        <w:rPr>
          <w:rFonts w:ascii="仿宋" w:eastAsia="仿宋" w:hAnsi="仿宋" w:hint="eastAsia"/>
          <w:sz w:val="24"/>
          <w:szCs w:val="24"/>
        </w:rPr>
        <w:t xml:space="preserve">率＜ </w:t>
      </w:r>
      <w:r w:rsidRPr="001328B7">
        <w:rPr>
          <w:rFonts w:ascii="仿宋" w:eastAsia="仿宋" w:hAnsi="仿宋" w:hint="eastAsia"/>
          <w:sz w:val="24"/>
          <w:szCs w:val="24"/>
        </w:rPr>
        <w:t>800小时/年</w:t>
      </w:r>
      <w:r w:rsidRPr="001328B7">
        <w:rPr>
          <w:rFonts w:ascii="仿宋" w:eastAsia="仿宋" w:hAnsi="仿宋"/>
          <w:sz w:val="24"/>
          <w:szCs w:val="24"/>
        </w:rPr>
        <w:t>，国资处不建议</w:t>
      </w:r>
      <w:r w:rsidR="00066BB5" w:rsidRPr="001328B7">
        <w:rPr>
          <w:rFonts w:ascii="仿宋" w:eastAsia="仿宋" w:hAnsi="仿宋" w:hint="eastAsia"/>
          <w:sz w:val="24"/>
          <w:szCs w:val="24"/>
        </w:rPr>
        <w:t>申购</w:t>
      </w:r>
      <w:r w:rsidRPr="001328B7">
        <w:rPr>
          <w:rFonts w:ascii="仿宋" w:eastAsia="仿宋" w:hAnsi="仿宋" w:hint="eastAsia"/>
          <w:sz w:val="24"/>
          <w:szCs w:val="24"/>
        </w:rPr>
        <w:t>（参考教育部在高等学校贵重仪器设备年度效益评价工作中的定额机时，专用设备的定额机时规定为800小时/年）；</w:t>
      </w:r>
    </w:p>
    <w:p w:rsidR="001941D6"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申请射线装置和含放射源的设备，完成环评相关工作才可申报；</w:t>
      </w:r>
    </w:p>
    <w:p w:rsidR="00CF1EB3"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w:t>
      </w:r>
      <w:r w:rsidRPr="001328B7">
        <w:rPr>
          <w:rFonts w:ascii="仿宋" w:eastAsia="仿宋" w:hAnsi="仿宋"/>
          <w:sz w:val="24"/>
          <w:szCs w:val="24"/>
        </w:rPr>
        <w:t>在</w:t>
      </w:r>
      <w:r w:rsidRPr="001328B7">
        <w:rPr>
          <w:rFonts w:ascii="仿宋" w:eastAsia="仿宋" w:hAnsi="仿宋" w:hint="eastAsia"/>
          <w:sz w:val="24"/>
          <w:szCs w:val="24"/>
        </w:rPr>
        <w:t>附属</w:t>
      </w:r>
      <w:r w:rsidRPr="001328B7">
        <w:rPr>
          <w:rFonts w:ascii="仿宋" w:eastAsia="仿宋" w:hAnsi="仿宋"/>
          <w:sz w:val="24"/>
          <w:szCs w:val="24"/>
        </w:rPr>
        <w:t>医院的设备</w:t>
      </w:r>
      <w:r w:rsidRPr="001328B7">
        <w:rPr>
          <w:rFonts w:ascii="仿宋" w:eastAsia="仿宋" w:hAnsi="仿宋" w:hint="eastAsia"/>
          <w:sz w:val="24"/>
          <w:szCs w:val="24"/>
        </w:rPr>
        <w:t>，</w:t>
      </w:r>
      <w:r w:rsidRPr="001328B7">
        <w:rPr>
          <w:rFonts w:ascii="仿宋" w:eastAsia="仿宋" w:hAnsi="仿宋"/>
          <w:sz w:val="24"/>
          <w:szCs w:val="24"/>
        </w:rPr>
        <w:t>请提前了解学校的资产管理制度</w:t>
      </w:r>
      <w:r w:rsidRPr="001328B7">
        <w:rPr>
          <w:rFonts w:ascii="仿宋" w:eastAsia="仿宋" w:hAnsi="仿宋" w:hint="eastAsia"/>
          <w:sz w:val="24"/>
          <w:szCs w:val="24"/>
        </w:rPr>
        <w:t>；</w:t>
      </w:r>
    </w:p>
    <w:p w:rsidR="00CF1EB3"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放置在附属医院的申请免税设备，不能用于医院收费服务；</w:t>
      </w:r>
    </w:p>
    <w:p w:rsidR="002D6424" w:rsidRPr="001328B7" w:rsidRDefault="00877A39"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申报前</w:t>
      </w:r>
      <w:r w:rsidR="002D6424" w:rsidRPr="001328B7">
        <w:rPr>
          <w:rFonts w:ascii="仿宋" w:eastAsia="仿宋" w:hAnsi="仿宋" w:hint="eastAsia"/>
          <w:sz w:val="24"/>
          <w:szCs w:val="24"/>
        </w:rPr>
        <w:t>分别在“首都科技条件平台”和学校中心实验室查询开放共享的设备</w:t>
      </w:r>
      <w:r w:rsidRPr="001328B7">
        <w:rPr>
          <w:rFonts w:ascii="仿宋" w:eastAsia="仿宋" w:hAnsi="仿宋" w:hint="eastAsia"/>
          <w:sz w:val="24"/>
          <w:szCs w:val="24"/>
        </w:rPr>
        <w:t>，若能够满足实验需求，国资处不建议申购新设备</w:t>
      </w:r>
      <w:r w:rsidR="001172DA" w:rsidRPr="001328B7">
        <w:rPr>
          <w:rFonts w:ascii="仿宋" w:eastAsia="仿宋" w:hAnsi="仿宋" w:hint="eastAsia"/>
          <w:sz w:val="24"/>
          <w:szCs w:val="24"/>
        </w:rPr>
        <w:t>；</w:t>
      </w:r>
    </w:p>
    <w:p w:rsidR="00C46AB2" w:rsidRPr="001328B7" w:rsidRDefault="00C46AB2"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需要安装地线、上下水，设备重量超过200kg的设备，请与后勤处咨询并确认环境条件</w:t>
      </w:r>
      <w:r w:rsidR="00DD5150">
        <w:rPr>
          <w:rFonts w:ascii="仿宋" w:eastAsia="仿宋" w:hAnsi="仿宋" w:hint="eastAsia"/>
          <w:sz w:val="24"/>
          <w:szCs w:val="24"/>
        </w:rPr>
        <w:t>是否</w:t>
      </w:r>
      <w:r w:rsidRPr="001328B7">
        <w:rPr>
          <w:rFonts w:ascii="仿宋" w:eastAsia="仿宋" w:hAnsi="仿宋" w:hint="eastAsia"/>
          <w:sz w:val="24"/>
          <w:szCs w:val="24"/>
        </w:rPr>
        <w:t>可以改造满足使用。</w:t>
      </w:r>
    </w:p>
    <w:p w:rsidR="002D6424" w:rsidRPr="001328B7" w:rsidRDefault="002D6424" w:rsidP="001328B7">
      <w:pPr>
        <w:spacing w:line="360" w:lineRule="auto"/>
        <w:jc w:val="left"/>
        <w:rPr>
          <w:rFonts w:ascii="仿宋" w:eastAsia="仿宋" w:hAnsi="仿宋"/>
          <w:sz w:val="24"/>
          <w:szCs w:val="24"/>
        </w:rPr>
      </w:pP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相关工作咨询电话如下：</w:t>
      </w:r>
      <w:bookmarkStart w:id="0" w:name="_GoBack"/>
      <w:bookmarkEnd w:id="0"/>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大型论证：王老师 83911228、83911949</w:t>
      </w: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资产管理：高老师 83911755</w:t>
      </w: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环评工作：陈老师 83911227</w:t>
      </w:r>
    </w:p>
    <w:p w:rsidR="00C46AB2" w:rsidRPr="001328B7" w:rsidRDefault="001172DA"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后勤</w:t>
      </w:r>
      <w:r w:rsidR="005A231A">
        <w:rPr>
          <w:rFonts w:ascii="仿宋" w:eastAsia="仿宋" w:hAnsi="仿宋" w:hint="eastAsia"/>
          <w:sz w:val="24"/>
          <w:szCs w:val="24"/>
        </w:rPr>
        <w:t>基建</w:t>
      </w:r>
      <w:r w:rsidR="00C46AB2" w:rsidRPr="001328B7">
        <w:rPr>
          <w:rFonts w:ascii="仿宋" w:eastAsia="仿宋" w:hAnsi="仿宋" w:hint="eastAsia"/>
          <w:sz w:val="24"/>
          <w:szCs w:val="24"/>
        </w:rPr>
        <w:t xml:space="preserve">：曹老师 </w:t>
      </w:r>
      <w:r w:rsidR="005A231A">
        <w:rPr>
          <w:rFonts w:ascii="仿宋" w:eastAsia="仿宋" w:hAnsi="仿宋" w:hint="eastAsia"/>
          <w:sz w:val="24"/>
          <w:szCs w:val="24"/>
        </w:rPr>
        <w:t>13911349717</w:t>
      </w:r>
    </w:p>
    <w:sectPr w:rsidR="00C46AB2" w:rsidRPr="001328B7" w:rsidSect="00AB327C">
      <w:pgSz w:w="11906" w:h="16838"/>
      <w:pgMar w:top="993" w:right="1133"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3A" w:rsidRDefault="00A6183A" w:rsidP="001172DA">
      <w:r>
        <w:separator/>
      </w:r>
    </w:p>
  </w:endnote>
  <w:endnote w:type="continuationSeparator" w:id="0">
    <w:p w:rsidR="00A6183A" w:rsidRDefault="00A6183A" w:rsidP="001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3A" w:rsidRDefault="00A6183A" w:rsidP="001172DA">
      <w:r>
        <w:separator/>
      </w:r>
    </w:p>
  </w:footnote>
  <w:footnote w:type="continuationSeparator" w:id="0">
    <w:p w:rsidR="00A6183A" w:rsidRDefault="00A6183A" w:rsidP="00117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D87"/>
    <w:multiLevelType w:val="hybridMultilevel"/>
    <w:tmpl w:val="FF96B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9E76AD"/>
    <w:multiLevelType w:val="hybridMultilevel"/>
    <w:tmpl w:val="56D6E62E"/>
    <w:lvl w:ilvl="0" w:tplc="92E017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0E"/>
    <w:rsid w:val="00066BB5"/>
    <w:rsid w:val="001172DA"/>
    <w:rsid w:val="001328B7"/>
    <w:rsid w:val="001941D6"/>
    <w:rsid w:val="00221541"/>
    <w:rsid w:val="002D6424"/>
    <w:rsid w:val="003902D4"/>
    <w:rsid w:val="005A231A"/>
    <w:rsid w:val="005A6153"/>
    <w:rsid w:val="007438FA"/>
    <w:rsid w:val="00807425"/>
    <w:rsid w:val="0085061F"/>
    <w:rsid w:val="00877A39"/>
    <w:rsid w:val="00962F8F"/>
    <w:rsid w:val="0099684B"/>
    <w:rsid w:val="009A61F9"/>
    <w:rsid w:val="00A6183A"/>
    <w:rsid w:val="00A82250"/>
    <w:rsid w:val="00AB327C"/>
    <w:rsid w:val="00AE7429"/>
    <w:rsid w:val="00C46AB2"/>
    <w:rsid w:val="00CF1EB3"/>
    <w:rsid w:val="00DD5150"/>
    <w:rsid w:val="00E1300E"/>
    <w:rsid w:val="00FD0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43056-AA23-4F00-BA5C-6E644279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D6"/>
    <w:pPr>
      <w:ind w:firstLineChars="200" w:firstLine="420"/>
    </w:pPr>
  </w:style>
  <w:style w:type="paragraph" w:styleId="a4">
    <w:name w:val="header"/>
    <w:basedOn w:val="a"/>
    <w:link w:val="Char"/>
    <w:uiPriority w:val="99"/>
    <w:unhideWhenUsed/>
    <w:rsid w:val="00117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2DA"/>
    <w:rPr>
      <w:sz w:val="18"/>
      <w:szCs w:val="18"/>
    </w:rPr>
  </w:style>
  <w:style w:type="paragraph" w:styleId="a5">
    <w:name w:val="footer"/>
    <w:basedOn w:val="a"/>
    <w:link w:val="Char0"/>
    <w:uiPriority w:val="99"/>
    <w:unhideWhenUsed/>
    <w:rsid w:val="001172DA"/>
    <w:pPr>
      <w:tabs>
        <w:tab w:val="center" w:pos="4153"/>
        <w:tab w:val="right" w:pos="8306"/>
      </w:tabs>
      <w:snapToGrid w:val="0"/>
      <w:jc w:val="left"/>
    </w:pPr>
    <w:rPr>
      <w:sz w:val="18"/>
      <w:szCs w:val="18"/>
    </w:rPr>
  </w:style>
  <w:style w:type="character" w:customStyle="1" w:styleId="Char0">
    <w:name w:val="页脚 Char"/>
    <w:basedOn w:val="a0"/>
    <w:link w:val="a5"/>
    <w:uiPriority w:val="99"/>
    <w:rsid w:val="001172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2018-10-23T05:24:00Z</dcterms:created>
  <dcterms:modified xsi:type="dcterms:W3CDTF">2018-11-22T09:01:00Z</dcterms:modified>
</cp:coreProperties>
</file>